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>
        <w:t>03.02.2017</w:t>
      </w:r>
      <w:r w:rsidRPr="00644877">
        <w:t xml:space="preserve"> года  №  </w:t>
      </w:r>
      <w:r>
        <w:t>42</w:t>
      </w:r>
      <w:r w:rsidRPr="00644877">
        <w:t xml:space="preserve"> 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26.12.2016 года  № </w:t>
      </w:r>
      <w:r>
        <w:t>35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2017 год и на плановый период 2018 и 2019 годов»</w:t>
      </w:r>
    </w:p>
    <w:p w:rsidR="009E36C1" w:rsidRPr="00644877" w:rsidRDefault="009E36C1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 w:rsidRPr="00644877">
        <w:rPr>
          <w:b/>
          <w:bCs/>
          <w:color w:val="000000"/>
          <w:sz w:val="28"/>
          <w:szCs w:val="28"/>
        </w:rPr>
        <w:t>1.Источники</w:t>
      </w:r>
    </w:p>
    <w:p w:rsidR="009E36C1" w:rsidRPr="00644877" w:rsidRDefault="009E36C1" w:rsidP="009E36C1">
      <w:pPr>
        <w:rPr>
          <w:snapToGrid w:val="0"/>
        </w:rPr>
      </w:pPr>
      <w:r w:rsidRPr="00644877">
        <w:rPr>
          <w:snapToGrid w:val="0"/>
        </w:rPr>
        <w:t xml:space="preserve">        1.1. В приложении  2 «Источники финансирования дефицита бюджета </w:t>
      </w:r>
      <w:proofErr w:type="spellStart"/>
      <w:r>
        <w:rPr>
          <w:snapToGrid w:val="0"/>
        </w:rPr>
        <w:t>Ольхово-Рогского</w:t>
      </w:r>
      <w:proofErr w:type="spellEnd"/>
      <w:r w:rsidRPr="00644877">
        <w:rPr>
          <w:snapToGrid w:val="0"/>
        </w:rPr>
        <w:t xml:space="preserve"> сельского поселения  </w:t>
      </w:r>
      <w:proofErr w:type="spellStart"/>
      <w:r w:rsidRPr="00644877">
        <w:rPr>
          <w:snapToGrid w:val="0"/>
        </w:rPr>
        <w:t>Миллеровского</w:t>
      </w:r>
      <w:proofErr w:type="spellEnd"/>
      <w:r w:rsidRPr="00644877">
        <w:rPr>
          <w:snapToGrid w:val="0"/>
        </w:rPr>
        <w:t xml:space="preserve"> района </w:t>
      </w:r>
      <w:r w:rsidRPr="00644877">
        <w:rPr>
          <w:b/>
          <w:snapToGrid w:val="0"/>
        </w:rPr>
        <w:t>на 2017 год</w:t>
      </w:r>
      <w:r w:rsidRPr="00644877">
        <w:rPr>
          <w:snapToGrid w:val="0"/>
        </w:rPr>
        <w:t>»</w:t>
      </w:r>
    </w:p>
    <w:p w:rsidR="009E36C1" w:rsidRPr="00644877" w:rsidRDefault="009E36C1" w:rsidP="009E36C1">
      <w:pPr>
        <w:rPr>
          <w:snapToGrid w:val="0"/>
        </w:rPr>
      </w:pPr>
    </w:p>
    <w:p w:rsidR="009E36C1" w:rsidRPr="00644877" w:rsidRDefault="009E36C1" w:rsidP="009E36C1">
      <w:pPr>
        <w:rPr>
          <w:b/>
          <w:snapToGrid w:val="0"/>
        </w:rPr>
      </w:pPr>
      <w:r w:rsidRPr="00644877">
        <w:rPr>
          <w:snapToGrid w:val="0"/>
        </w:rPr>
        <w:t xml:space="preserve">       -по коду  01 05 02 01 10 0000 610    - </w:t>
      </w:r>
      <w:r>
        <w:rPr>
          <w:snapToGrid w:val="0"/>
        </w:rPr>
        <w:t>увеличение на 655,1</w:t>
      </w:r>
      <w:r w:rsidRPr="00644877">
        <w:rPr>
          <w:snapToGrid w:val="0"/>
        </w:rPr>
        <w:t xml:space="preserve"> тыс</w:t>
      </w:r>
      <w:proofErr w:type="gramStart"/>
      <w:r w:rsidRPr="00644877">
        <w:rPr>
          <w:snapToGrid w:val="0"/>
        </w:rPr>
        <w:t>.р</w:t>
      </w:r>
      <w:proofErr w:type="gramEnd"/>
      <w:r w:rsidRPr="00644877">
        <w:rPr>
          <w:snapToGrid w:val="0"/>
        </w:rPr>
        <w:t>уб.</w:t>
      </w:r>
    </w:p>
    <w:p w:rsidR="009E36C1" w:rsidRPr="00644877" w:rsidRDefault="009E36C1" w:rsidP="009E36C1">
      <w:pPr>
        <w:tabs>
          <w:tab w:val="left" w:pos="-851"/>
        </w:tabs>
        <w:jc w:val="both"/>
        <w:rPr>
          <w:sz w:val="28"/>
          <w:szCs w:val="28"/>
        </w:rPr>
      </w:pPr>
    </w:p>
    <w:p w:rsidR="009E36C1" w:rsidRPr="00644877" w:rsidRDefault="009E36C1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 w:rsidRPr="00644877">
        <w:rPr>
          <w:sz w:val="28"/>
          <w:szCs w:val="28"/>
        </w:rPr>
        <w:t xml:space="preserve"> </w:t>
      </w:r>
      <w:r w:rsidRPr="00644877">
        <w:rPr>
          <w:b/>
          <w:bCs/>
          <w:color w:val="000000"/>
          <w:sz w:val="28"/>
          <w:szCs w:val="28"/>
        </w:rPr>
        <w:t>2.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2017 год</w:t>
      </w:r>
      <w:r w:rsidRPr="00644877">
        <w:rPr>
          <w:color w:val="000000"/>
        </w:rPr>
        <w:t xml:space="preserve"> </w:t>
      </w:r>
      <w:r>
        <w:rPr>
          <w:color w:val="000000"/>
        </w:rPr>
        <w:t>увеличение на 655,1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ублей.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9E36C1" w:rsidRPr="00644877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>3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Национальная безопасность и правоохранительная деятельность</w:t>
      </w:r>
      <w:r w:rsidRPr="00644877">
        <w:rPr>
          <w:b/>
          <w:bCs/>
          <w:i/>
          <w:color w:val="000000"/>
          <w:u w:val="single"/>
        </w:rPr>
        <w:t>»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tbl>
      <w:tblPr>
        <w:tblW w:w="11072" w:type="dxa"/>
        <w:tblInd w:w="-701" w:type="dxa"/>
        <w:tblLook w:val="04A0"/>
      </w:tblPr>
      <w:tblGrid>
        <w:gridCol w:w="5969"/>
        <w:gridCol w:w="605"/>
        <w:gridCol w:w="605"/>
        <w:gridCol w:w="1908"/>
        <w:gridCol w:w="709"/>
        <w:gridCol w:w="1276"/>
      </w:tblGrid>
      <w:tr w:rsidR="009E36C1" w:rsidTr="00A47CDB">
        <w:trPr>
          <w:trHeight w:val="75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E36C1" w:rsidTr="00A47CDB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E36C1" w:rsidTr="00A47CDB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Default="009E36C1" w:rsidP="00A47C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-40.0</w:t>
            </w:r>
          </w:p>
        </w:tc>
      </w:tr>
      <w:tr w:rsidR="009E36C1" w:rsidTr="00A47CDB">
        <w:trPr>
          <w:trHeight w:val="4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C1" w:rsidRPr="00283198" w:rsidRDefault="009E36C1" w:rsidP="00A47CDB">
            <w:pPr>
              <w:jc w:val="both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28319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8319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40,0</w:t>
            </w:r>
          </w:p>
        </w:tc>
      </w:tr>
    </w:tbl>
    <w:p w:rsidR="009E36C1" w:rsidRPr="00644877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CC0FFB" w:rsidRDefault="00CC0FFB" w:rsidP="009E36C1">
      <w:pPr>
        <w:tabs>
          <w:tab w:val="left" w:pos="0"/>
        </w:tabs>
        <w:jc w:val="center"/>
        <w:rPr>
          <w:b/>
          <w:i/>
          <w:sz w:val="28"/>
          <w:szCs w:val="28"/>
          <w:u w:val="single"/>
        </w:rPr>
      </w:pPr>
    </w:p>
    <w:p w:rsidR="009E36C1" w:rsidRPr="00A04353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sz w:val="28"/>
          <w:szCs w:val="28"/>
          <w:u w:val="single"/>
        </w:rPr>
      </w:pPr>
      <w:r w:rsidRPr="00A04353">
        <w:rPr>
          <w:b/>
          <w:i/>
          <w:sz w:val="28"/>
          <w:szCs w:val="28"/>
          <w:u w:val="single"/>
        </w:rPr>
        <w:lastRenderedPageBreak/>
        <w:t>по разделу 4«</w:t>
      </w:r>
      <w:r w:rsidRPr="00A04353">
        <w:rPr>
          <w:b/>
          <w:bCs/>
          <w:i/>
          <w:color w:val="000000"/>
          <w:sz w:val="28"/>
          <w:szCs w:val="28"/>
          <w:u w:val="single"/>
        </w:rPr>
        <w:t>Национальная экономика»</w:t>
      </w:r>
    </w:p>
    <w:p w:rsidR="009E36C1" w:rsidRPr="00A04353" w:rsidRDefault="009E36C1" w:rsidP="009E36C1">
      <w:pPr>
        <w:tabs>
          <w:tab w:val="left" w:pos="0"/>
        </w:tabs>
        <w:jc w:val="both"/>
        <w:rPr>
          <w:b/>
          <w:bCs/>
          <w:i/>
          <w:color w:val="000000"/>
          <w:sz w:val="28"/>
          <w:szCs w:val="28"/>
          <w:u w:val="single"/>
        </w:rPr>
      </w:pPr>
    </w:p>
    <w:p w:rsidR="009E36C1" w:rsidRPr="00A04353" w:rsidRDefault="009E36C1" w:rsidP="009E36C1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  <w:r w:rsidRPr="00A04353">
        <w:rPr>
          <w:bCs/>
          <w:color w:val="000000"/>
          <w:sz w:val="28"/>
          <w:szCs w:val="28"/>
        </w:rPr>
        <w:t xml:space="preserve">       Общий объем расходов по разделу «Национальная экономика» увеличен на 655,1 тыс</w:t>
      </w:r>
      <w:proofErr w:type="gramStart"/>
      <w:r w:rsidRPr="00A04353">
        <w:rPr>
          <w:bCs/>
          <w:color w:val="000000"/>
          <w:sz w:val="28"/>
          <w:szCs w:val="28"/>
        </w:rPr>
        <w:t>.р</w:t>
      </w:r>
      <w:proofErr w:type="gramEnd"/>
      <w:r w:rsidRPr="00A04353">
        <w:rPr>
          <w:bCs/>
          <w:color w:val="000000"/>
          <w:sz w:val="28"/>
          <w:szCs w:val="28"/>
        </w:rPr>
        <w:t>ублей, за счет собственных остатков по акцизам, образовавшихся на 01.01.2017 года.</w:t>
      </w:r>
    </w:p>
    <w:p w:rsidR="009E36C1" w:rsidRPr="00644877" w:rsidRDefault="009E36C1" w:rsidP="009E36C1">
      <w:pPr>
        <w:tabs>
          <w:tab w:val="left" w:pos="0"/>
        </w:tabs>
        <w:jc w:val="center"/>
        <w:rPr>
          <w:b/>
          <w:u w:val="single"/>
        </w:rPr>
      </w:pPr>
    </w:p>
    <w:tbl>
      <w:tblPr>
        <w:tblW w:w="10631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812"/>
        <w:gridCol w:w="709"/>
        <w:gridCol w:w="567"/>
        <w:gridCol w:w="1701"/>
        <w:gridCol w:w="567"/>
        <w:gridCol w:w="1275"/>
      </w:tblGrid>
      <w:tr w:rsidR="009E36C1" w:rsidRPr="00644877" w:rsidTr="00A47CDB">
        <w:trPr>
          <w:trHeight w:val="430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435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0435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0435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435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435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04353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9E36C1" w:rsidRPr="00A04353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E36C1" w:rsidRPr="00644877" w:rsidTr="00A47CDB">
        <w:trPr>
          <w:trHeight w:val="29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rPr>
                <w:b/>
                <w:sz w:val="28"/>
                <w:szCs w:val="28"/>
              </w:rPr>
            </w:pPr>
            <w:r w:rsidRPr="00A04353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sz w:val="28"/>
                <w:szCs w:val="28"/>
              </w:rPr>
            </w:pPr>
            <w:r w:rsidRPr="00A04353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sz w:val="28"/>
                <w:szCs w:val="28"/>
              </w:rPr>
            </w:pPr>
            <w:r w:rsidRPr="00A0435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b/>
                <w:bCs/>
                <w:sz w:val="28"/>
                <w:szCs w:val="28"/>
              </w:rPr>
            </w:pPr>
            <w:r w:rsidRPr="00A0435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A04353">
              <w:rPr>
                <w:b/>
                <w:color w:val="000000"/>
                <w:sz w:val="28"/>
                <w:szCs w:val="28"/>
              </w:rPr>
              <w:t>655,1</w:t>
            </w:r>
          </w:p>
        </w:tc>
      </w:tr>
      <w:tr w:rsidR="009E36C1" w:rsidRPr="00644877" w:rsidTr="00A47CDB">
        <w:trPr>
          <w:trHeight w:val="29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 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36C1" w:rsidRPr="00A04353" w:rsidRDefault="009E36C1" w:rsidP="00A47CDB">
            <w:pPr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A04353">
              <w:rPr>
                <w:color w:val="000000"/>
                <w:sz w:val="28"/>
                <w:szCs w:val="28"/>
              </w:rPr>
              <w:t>655,1</w:t>
            </w:r>
          </w:p>
        </w:tc>
      </w:tr>
      <w:tr w:rsidR="009E36C1" w:rsidRPr="00644877" w:rsidTr="00A47CDB">
        <w:trPr>
          <w:trHeight w:val="29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 xml:space="preserve">Иные межбюджетные трансферты из бюджетов сельских поселений бюджету </w:t>
            </w:r>
            <w:proofErr w:type="spellStart"/>
            <w:r w:rsidRPr="00A04353">
              <w:rPr>
                <w:sz w:val="28"/>
                <w:szCs w:val="28"/>
              </w:rPr>
              <w:t>Миллеровского</w:t>
            </w:r>
            <w:proofErr w:type="spellEnd"/>
            <w:r w:rsidRPr="00A04353">
              <w:rPr>
                <w:sz w:val="28"/>
                <w:szCs w:val="28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A04353">
              <w:rPr>
                <w:sz w:val="28"/>
                <w:szCs w:val="28"/>
              </w:rPr>
              <w:t>Миллеровского</w:t>
            </w:r>
            <w:proofErr w:type="spellEnd"/>
            <w:r w:rsidRPr="00A04353">
              <w:rPr>
                <w:sz w:val="28"/>
                <w:szCs w:val="28"/>
              </w:rPr>
              <w:t xml:space="preserve"> района, для финансирования дорожной деятельности на территории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jc w:val="center"/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36C1" w:rsidRPr="00A04353" w:rsidRDefault="009E36C1" w:rsidP="00A47CDB">
            <w:pPr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99 9 00 85090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rPr>
                <w:sz w:val="28"/>
                <w:szCs w:val="28"/>
              </w:rPr>
            </w:pPr>
            <w:r w:rsidRPr="00A04353">
              <w:rPr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6C1" w:rsidRPr="00A04353" w:rsidRDefault="009E36C1" w:rsidP="00A47CD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A04353">
              <w:rPr>
                <w:color w:val="000000"/>
                <w:sz w:val="28"/>
                <w:szCs w:val="28"/>
              </w:rPr>
              <w:t>655,1</w:t>
            </w:r>
          </w:p>
        </w:tc>
      </w:tr>
    </w:tbl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>5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Жилищно-коммунальное хозяйство</w:t>
      </w:r>
      <w:r w:rsidRPr="00644877">
        <w:rPr>
          <w:b/>
          <w:bCs/>
          <w:i/>
          <w:color w:val="000000"/>
          <w:u w:val="single"/>
        </w:rPr>
        <w:t>»</w:t>
      </w: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341" w:type="dxa"/>
        <w:tblInd w:w="-844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9E36C1" w:rsidRPr="00283198" w:rsidTr="00A47CDB">
        <w:trPr>
          <w:trHeight w:val="6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C1" w:rsidRPr="00283198" w:rsidRDefault="009E36C1" w:rsidP="00A47C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8319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3198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319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36C1" w:rsidRPr="00283198" w:rsidTr="00A47CDB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C1" w:rsidRPr="00283198" w:rsidRDefault="009E36C1" w:rsidP="00A47CDB">
            <w:pPr>
              <w:jc w:val="both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E36C1" w:rsidRPr="00283198" w:rsidTr="00A47CDB">
        <w:trPr>
          <w:trHeight w:val="309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C1" w:rsidRPr="00283198" w:rsidRDefault="009E36C1" w:rsidP="00A47CDB">
            <w:pPr>
              <w:jc w:val="both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8319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8319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8319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-5,0</w:t>
            </w:r>
          </w:p>
        </w:tc>
      </w:tr>
      <w:tr w:rsidR="009E36C1" w:rsidRPr="00283198" w:rsidTr="00A47CDB">
        <w:trPr>
          <w:trHeight w:val="4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C1" w:rsidRPr="00283198" w:rsidRDefault="009E36C1" w:rsidP="00A47CDB">
            <w:pPr>
              <w:jc w:val="both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28319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8319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83198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5,0</w:t>
            </w:r>
          </w:p>
        </w:tc>
      </w:tr>
    </w:tbl>
    <w:p w:rsidR="009E36C1" w:rsidRPr="00644877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9E36C1" w:rsidRPr="00644877" w:rsidRDefault="009E36C1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6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70D" w:rsidRDefault="00E7570D" w:rsidP="0036641C">
      <w:r>
        <w:separator/>
      </w:r>
    </w:p>
  </w:endnote>
  <w:endnote w:type="continuationSeparator" w:id="0">
    <w:p w:rsidR="00E7570D" w:rsidRDefault="00E7570D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36641C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CC0FFB">
      <w:rPr>
        <w:noProof/>
      </w:rPr>
      <w:t>2</w:t>
    </w:r>
    <w:r>
      <w:fldChar w:fldCharType="end"/>
    </w:r>
  </w:p>
  <w:p w:rsidR="002474C9" w:rsidRPr="00D90918" w:rsidRDefault="00E7570D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70D" w:rsidRDefault="00E7570D" w:rsidP="0036641C">
      <w:r>
        <w:separator/>
      </w:r>
    </w:p>
  </w:footnote>
  <w:footnote w:type="continuationSeparator" w:id="0">
    <w:p w:rsidR="00E7570D" w:rsidRDefault="00E7570D" w:rsidP="003664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36641C"/>
    <w:rsid w:val="00576677"/>
    <w:rsid w:val="009E36C1"/>
    <w:rsid w:val="00CC0FFB"/>
    <w:rsid w:val="00E75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526</Words>
  <Characters>3004</Characters>
  <Application>Microsoft Office Word</Application>
  <DocSecurity>0</DocSecurity>
  <Lines>25</Lines>
  <Paragraphs>7</Paragraphs>
  <ScaleCrop>false</ScaleCrop>
  <Company>Microsoft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2017-02-03T12:59:00Z</dcterms:created>
  <dcterms:modified xsi:type="dcterms:W3CDTF">2017-02-06T05:49:00Z</dcterms:modified>
</cp:coreProperties>
</file>