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2000000">
      <w:pPr>
        <w:spacing w:after="0" w:line="240" w:lineRule="auto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 xml:space="preserve">ОБЪЯВЛЕНИЕ О ПРОВЕДЕНИИ ОТБОРА </w:t>
      </w:r>
      <w:r>
        <w:rPr>
          <w:rFonts w:ascii="Times New Roman" w:hAnsi="Times New Roman"/>
          <w:b w:val="1"/>
          <w:sz w:val="28"/>
        </w:rPr>
        <w:br/>
      </w:r>
      <w:r>
        <w:rPr>
          <w:rFonts w:ascii="Times New Roman" w:hAnsi="Times New Roman"/>
          <w:sz w:val="28"/>
        </w:rPr>
        <w:t>с 07.03.2023 по 16.03.2023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>для предоставления субсидии</w:t>
      </w:r>
      <w:r>
        <w:rPr>
          <w:rFonts w:ascii="Times New Roman" w:hAnsi="Times New Roman"/>
          <w:sz w:val="28"/>
        </w:rPr>
        <w:t xml:space="preserve"> сельскохозяйственным товаропроизводителям</w:t>
      </w:r>
      <w:r>
        <w:rPr>
          <w:rFonts w:ascii="Times New Roman" w:hAnsi="Times New Roman"/>
          <w:sz w:val="28"/>
        </w:rPr>
        <w:t xml:space="preserve"> в рамках поддержки сельскохозяйственного производства </w:t>
      </w:r>
      <w:r>
        <w:rPr>
          <w:rFonts w:ascii="Times New Roman" w:hAnsi="Times New Roman"/>
          <w:sz w:val="28"/>
        </w:rPr>
        <w:t>на поддержку элитного семеноводства</w:t>
      </w:r>
    </w:p>
    <w:p w14:paraId="03000000">
      <w:pPr>
        <w:spacing w:after="0" w:line="240" w:lineRule="auto"/>
        <w:ind/>
        <w:jc w:val="center"/>
        <w:rPr>
          <w:rFonts w:ascii="Times New Roman" w:hAnsi="Times New Roman"/>
          <w:sz w:val="28"/>
        </w:rPr>
      </w:pPr>
    </w:p>
    <w:p w14:paraId="04000000">
      <w:pPr>
        <w:pStyle w:val="Style_1"/>
        <w:ind w:firstLine="283" w:left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Объявляется проведение отбора сельскохозяйственных товаропроизводителей (кроме граждан, ведущих личное подсобное хозяйство, и сельскохозяйственных кредитных потребительских кооперативов) для предоставления субсидии из федерального и областного бюджетов в рамках поддержки сельскохозяйственного производства на поддержку элитного семеноводства.</w:t>
      </w:r>
    </w:p>
    <w:p w14:paraId="05000000">
      <w:pPr>
        <w:pStyle w:val="Style_1"/>
        <w:rPr>
          <w:rFonts w:ascii="Times New Roman" w:hAnsi="Times New Roman"/>
          <w:sz w:val="28"/>
        </w:rPr>
      </w:pPr>
    </w:p>
    <w:p w14:paraId="06000000">
      <w:pPr>
        <w:pStyle w:val="Style_1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1.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b w:val="1"/>
          <w:sz w:val="28"/>
        </w:rPr>
        <w:t xml:space="preserve">Срок проведения приема заявок о предоставлении субсидии </w:t>
      </w:r>
      <w:r>
        <w:rPr>
          <w:rFonts w:ascii="Times New Roman" w:hAnsi="Times New Roman"/>
          <w:sz w:val="28"/>
        </w:rPr>
        <w:t>сельскохозяйственным товаропроизводителям в рамках поддержки сельскохозяйственного производства на поддержку элитного семеноводства</w:t>
      </w:r>
      <w:r>
        <w:br/>
      </w:r>
      <w:r>
        <w:rPr>
          <w:rFonts w:ascii="Times New Roman" w:hAnsi="Times New Roman"/>
          <w:sz w:val="28"/>
        </w:rPr>
        <w:t xml:space="preserve">с </w:t>
      </w:r>
      <w:r>
        <w:rPr>
          <w:rFonts w:ascii="Times New Roman" w:hAnsi="Times New Roman"/>
          <w:b w:val="1"/>
          <w:sz w:val="28"/>
        </w:rPr>
        <w:t xml:space="preserve">07.03.2023 по 16.03.2023 включительно </w:t>
      </w:r>
      <w:r>
        <w:rPr>
          <w:rFonts w:ascii="Times New Roman" w:hAnsi="Times New Roman"/>
          <w:sz w:val="28"/>
        </w:rPr>
        <w:t>с 09-00 часов до 18-00 часов, пятница</w:t>
      </w:r>
      <w:r>
        <w:br/>
      </w:r>
      <w:r>
        <w:rPr>
          <w:rFonts w:ascii="Times New Roman" w:hAnsi="Times New Roman"/>
          <w:sz w:val="28"/>
        </w:rPr>
        <w:t xml:space="preserve"> с 09-00 часов до 16-45 часов (перерыв с 13-00 до 13-45, суббота и воскресенье – выходные дни).</w:t>
      </w:r>
    </w:p>
    <w:p w14:paraId="07000000">
      <w:pPr>
        <w:pStyle w:val="Style_1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2.</w:t>
      </w:r>
      <w:r>
        <w:rPr>
          <w:rFonts w:ascii="Times New Roman" w:hAnsi="Times New Roman"/>
          <w:sz w:val="28"/>
        </w:rPr>
        <w:t xml:space="preserve"> Администрация Миллеровского района (далее – Администрация) как главный распорядитель бюджетных средств, предоставляемых сельскохозяйственным товаропроизводителям в рамках поддержки сельскохозяйственного производства на поддержку элитного семеноводства в соответствии </w:t>
      </w:r>
      <w:r>
        <w:br/>
      </w:r>
      <w:r>
        <w:rPr>
          <w:rFonts w:ascii="Times New Roman" w:hAnsi="Times New Roman"/>
          <w:sz w:val="28"/>
        </w:rPr>
        <w:t xml:space="preserve">с постановлением Администрации Миллеровского района </w:t>
      </w:r>
      <w:r>
        <w:br/>
      </w:r>
      <w:r>
        <w:rPr>
          <w:rFonts w:ascii="Times New Roman" w:hAnsi="Times New Roman"/>
          <w:sz w:val="28"/>
        </w:rPr>
        <w:t xml:space="preserve">от 02.03.2023 № 148-П </w:t>
      </w:r>
      <w:r>
        <w:rPr>
          <w:rFonts w:ascii="Times New Roman" w:hAnsi="Times New Roman"/>
          <w:sz w:val="28"/>
        </w:rPr>
        <w:t xml:space="preserve">«О Порядке предоставления субсидии сельскохозяйственным товаропроизводителям в рамках поддержки сельскохозяйственного производства на поддержку элитного семеноводства» (далее – Порядок), находится по адресу: </w:t>
      </w:r>
      <w:r>
        <w:rPr>
          <w:rFonts w:ascii="Times New Roman" w:hAnsi="Times New Roman"/>
          <w:sz w:val="28"/>
        </w:rPr>
        <w:t xml:space="preserve">346130, Ростовская область, город Миллерово, улица Ленина дом 6, </w:t>
      </w:r>
      <w:r>
        <w:rPr>
          <w:rStyle w:val="Style_2_ch"/>
          <w:rFonts w:ascii="Times New Roman" w:hAnsi="Times New Roman"/>
          <w:sz w:val="28"/>
        </w:rPr>
        <w:fldChar w:fldCharType="begin"/>
      </w:r>
      <w:r>
        <w:rPr>
          <w:rStyle w:val="Style_2_ch"/>
          <w:rFonts w:ascii="Times New Roman" w:hAnsi="Times New Roman"/>
          <w:sz w:val="28"/>
        </w:rPr>
        <w:instrText>HYPERLINK "mailto:otdsx@mail.ru"</w:instrText>
      </w:r>
      <w:r>
        <w:rPr>
          <w:rStyle w:val="Style_2_ch"/>
          <w:rFonts w:ascii="Times New Roman" w:hAnsi="Times New Roman"/>
          <w:sz w:val="28"/>
        </w:rPr>
        <w:fldChar w:fldCharType="separate"/>
      </w:r>
      <w:r>
        <w:rPr>
          <w:rStyle w:val="Style_2_ch"/>
          <w:rFonts w:ascii="Times New Roman" w:hAnsi="Times New Roman"/>
          <w:sz w:val="28"/>
        </w:rPr>
        <w:t>otdsx@mail.ru</w:t>
      </w:r>
      <w:r>
        <w:rPr>
          <w:rStyle w:val="Style_2_ch"/>
          <w:rFonts w:ascii="Times New Roman" w:hAnsi="Times New Roman"/>
          <w:sz w:val="28"/>
        </w:rPr>
        <w:fldChar w:fldCharType="end"/>
      </w:r>
      <w:r>
        <w:rPr>
          <w:rFonts w:ascii="Times New Roman" w:hAnsi="Times New Roman"/>
          <w:sz w:val="28"/>
        </w:rPr>
        <w:t xml:space="preserve"> </w:t>
      </w:r>
      <w:r>
        <w:br/>
      </w:r>
      <w:r>
        <w:rPr>
          <w:rFonts w:ascii="Times New Roman" w:hAnsi="Times New Roman"/>
          <w:sz w:val="22"/>
        </w:rPr>
        <w:t>(индекс, муниципальный район, населенный пункт, улица, номер дома, электронная почта)</w:t>
      </w:r>
      <w:r>
        <w:rPr>
          <w:rFonts w:ascii="Times New Roman" w:hAnsi="Times New Roman"/>
          <w:sz w:val="22"/>
        </w:rPr>
        <w:br/>
      </w:r>
      <w:r>
        <w:rPr>
          <w:rFonts w:ascii="Times New Roman" w:hAnsi="Times New Roman"/>
          <w:b w:val="1"/>
          <w:sz w:val="28"/>
        </w:rPr>
        <w:t>3.</w:t>
      </w:r>
      <w:r>
        <w:rPr>
          <w:rFonts w:ascii="Times New Roman" w:hAnsi="Times New Roman"/>
          <w:sz w:val="28"/>
        </w:rPr>
        <w:t xml:space="preserve"> Планируемым результатом предоставления субсидии на поддержку элитного семеноводства является засеянная элитными семенами площадь (гектаров) в году предоставления субсидии. Значения результата предоставления субсидии, точная дата его завершения, конечное значение результата (конкретная количественная характеристика итога) устанавливаются в соглашениях о предоставлении субсидии (далее – Соглашение).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b w:val="1"/>
          <w:sz w:val="28"/>
        </w:rPr>
        <w:t>4.</w:t>
      </w:r>
      <w:r>
        <w:rPr>
          <w:rFonts w:ascii="Times New Roman" w:hAnsi="Times New Roman"/>
          <w:sz w:val="28"/>
        </w:rPr>
        <w:t xml:space="preserve"> Информация о проведении отбора размещена в информационной системе «Интернет» на официальном сайте Администрации: </w:t>
      </w:r>
      <w:r>
        <w:rPr>
          <w:rStyle w:val="Style_2_ch"/>
        </w:rPr>
        <w:fldChar w:fldCharType="begin"/>
      </w:r>
      <w:r>
        <w:rPr>
          <w:rStyle w:val="Style_2_ch"/>
        </w:rPr>
        <w:instrText>HYPERLINK "https://millerovo.donland.ru/"</w:instrText>
      </w:r>
      <w:r>
        <w:rPr>
          <w:rStyle w:val="Style_2_ch"/>
        </w:rPr>
        <w:fldChar w:fldCharType="separate"/>
      </w:r>
      <w:r>
        <w:rPr>
          <w:rStyle w:val="Style_2_ch"/>
        </w:rPr>
        <w:t>https://millerovo.donland.ru/</w:t>
      </w:r>
      <w:r>
        <w:rPr>
          <w:rStyle w:val="Style_2_ch"/>
        </w:rPr>
        <w:fldChar w:fldCharType="end"/>
      </w:r>
      <w:r>
        <w:rPr>
          <w:rFonts w:ascii="Times New Roman" w:hAnsi="Times New Roman"/>
          <w:sz w:val="28"/>
        </w:rPr>
        <w:t> </w:t>
      </w:r>
      <w:r>
        <w:rPr>
          <w:rFonts w:ascii="Times New Roman" w:hAnsi="Times New Roman"/>
          <w:sz w:val="28"/>
        </w:rPr>
        <w:t>(название официального сайта)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 xml:space="preserve">5. Право на получение субсидии имеют сельскохозяйственные товаропроизводители (кроме граждан, ведущих личное подсобное хозяйство, и сельскохозяйственных кредитных потребительских кооперативов), соответствующие следующим требованиям по состоянию на дату не ранее 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 xml:space="preserve">1 числа месяца подачи заявки: </w:t>
      </w:r>
      <w:r>
        <w:rPr>
          <w:rFonts w:ascii="Times New Roman" w:hAnsi="Times New Roman"/>
          <w:sz w:val="28"/>
        </w:rPr>
        <w:t xml:space="preserve">участник отбора – юридическое лицо не находится в процессе реорганизации (за исключением реорганизации в форме присоединения к участнику отбора другого юридического лица), ликвидации, в отношении него не введена процедура банкротства, деятельность участника отбора не приостановлена в порядке, предусмотренном законодательством Российской Федерации; </w:t>
      </w:r>
      <w:r>
        <w:rPr>
          <w:rFonts w:ascii="Times New Roman" w:hAnsi="Times New Roman"/>
          <w:sz w:val="28"/>
        </w:rPr>
        <w:t>участник отбора – индивидуальный предприниматель не прекратил деятельность в качестве индивидуального предпринимателя, а также в отношении него не введена процедура банкротства;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>участник отбора имеет государственную регистрацию или постановку на учет в налоговом органе на территории Ростовской области;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 xml:space="preserve">у участника отбора отсутствует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 </w:t>
      </w:r>
      <w:r>
        <w:rPr>
          <w:rFonts w:ascii="Times New Roman" w:hAnsi="Times New Roman"/>
          <w:sz w:val="28"/>
        </w:rPr>
        <w:t>у участника отбора отсутствует просроченная задолженность по возврату в местный бюджет, из которого планируется предоставление субсидии в соответствии с правовым актом, субсидий, бюджетных инвестиций, предоставленных в том числе в соответствии с иными правовыми актами, а также иная просроченная (неурегулированная) задолженность по денежным обязательствам перед Миллеровским районом;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 xml:space="preserve">участник отбора не является иностранным юридическим лицом, в том числе местом регистрации которого является государство или территория, включенные в утверждаемый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–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таких офшорных компаний в капитале других российских юридических лиц, реализованное через участие в капитале указанных публичных акционерных обществ; </w:t>
      </w:r>
      <w:r>
        <w:rPr>
          <w:rFonts w:ascii="Times New Roman" w:hAnsi="Times New Roman"/>
          <w:sz w:val="28"/>
        </w:rPr>
        <w:t xml:space="preserve">участник отбора не получал средства из местного бюджета, из которого планируется предоставление субсидии в соответствии с муниципальным правовым актом, на основании иных муниципальных правовых актов на поддержку элитного семеноводства (по одним и тем же объемам затрат); </w:t>
      </w:r>
      <w:r>
        <w:rPr>
          <w:rFonts w:ascii="Times New Roman" w:hAnsi="Times New Roman"/>
          <w:sz w:val="28"/>
        </w:rPr>
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 главном бухгалтере (при наличии) участника отбора, являющегося юридическим лицом, об индивидуальном предпринимателе, являющемся участником отбора;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>участник отбора осуществляет производственную деятельность на территории Миллеровского района Ростовской области.</w:t>
      </w:r>
      <w:r>
        <w:rPr>
          <w:rFonts w:ascii="Times New Roman" w:hAnsi="Times New Roman"/>
          <w:sz w:val="28"/>
        </w:rPr>
        <w:t> (наименование района)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Участником отбора должны быть соблюдены также условия: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>представление информации о землях сельскохозяйственного назначения, используемых в сельскохозяйственном производстве;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 xml:space="preserve">отсутствие в году, предшествующем году получения субсидии, случаев привлечения к ответственности за несоблюдение запрета на выжигание сухой травянистой растительности, стерни, пожнивных остатков (за исключением рисовой соломы) на землях сельскохозяйственного назначения, установленного постановлением Правительства Российской Федерации от 16.09.2020 № 1479 </w:t>
      </w:r>
      <w:r>
        <w:br/>
      </w:r>
      <w:r>
        <w:rPr>
          <w:rFonts w:ascii="Times New Roman" w:hAnsi="Times New Roman"/>
          <w:sz w:val="28"/>
        </w:rPr>
        <w:t xml:space="preserve">«Об утверждении </w:t>
      </w:r>
      <w:r>
        <w:rPr>
          <w:rFonts w:ascii="Times New Roman" w:hAnsi="Times New Roman"/>
          <w:sz w:val="28"/>
        </w:rPr>
        <w:t xml:space="preserve">Правил </w:t>
      </w:r>
      <w:r>
        <w:rPr>
          <w:rFonts w:ascii="Times New Roman" w:hAnsi="Times New Roman"/>
          <w:sz w:val="28"/>
        </w:rPr>
        <w:t>противопожарного режима в Российской Федерации».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b w:val="1"/>
          <w:sz w:val="28"/>
        </w:rPr>
        <w:t>6.</w:t>
      </w:r>
      <w:r>
        <w:rPr>
          <w:rFonts w:ascii="Times New Roman" w:hAnsi="Times New Roman"/>
          <w:sz w:val="28"/>
        </w:rPr>
        <w:t xml:space="preserve"> Порядок подачи заявки и состав заявки. </w:t>
      </w:r>
      <w:r>
        <w:rPr>
          <w:rFonts w:ascii="Times New Roman" w:hAnsi="Times New Roman"/>
          <w:sz w:val="28"/>
        </w:rPr>
        <w:t>Участники отбора вправе представить документы в срок, указанный в пункте 1 настоящего объявления в отдел сельского хозяйства и охраны окружающей среды Администрации Миллеровского района (далее – Отдел) или через муниципальное автономное учреждение Миллеровского района «Многофункциональный центр предоставления государственных и муниципальных услуг» (далее – МФЦ).</w:t>
      </w:r>
      <w:r>
        <w:rPr>
          <w:rFonts w:ascii="Times New Roman" w:hAnsi="Times New Roman"/>
          <w:sz w:val="28"/>
        </w:rPr>
        <w:t>    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>Взаимодействие между Отделом и многофункциональным центром осуществляется в соответствии с заключенным между ними соглашением.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 xml:space="preserve">Отдел в день подачи заявки (уточненной заявки) регистрирует ее в журнале регистрации заявок. </w:t>
      </w:r>
    </w:p>
    <w:p w14:paraId="08000000">
      <w:pPr>
        <w:pStyle w:val="Style_1"/>
        <w:ind w:firstLine="425" w:left="0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В целях получения субсидии сельскохозяйственным товаропроизводителям в рамках поддержки сельскохозяйственного производства на поддержку элитного семеноводства согласно описи документов по форме, представляются: </w:t>
      </w:r>
    </w:p>
    <w:p w14:paraId="09000000">
      <w:pPr>
        <w:pStyle w:val="Style_1"/>
        <w:ind w:firstLine="425" w:left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заявление о предоставлении субсидии; </w:t>
      </w:r>
      <w:r>
        <w:rPr>
          <w:rFonts w:ascii="Times New Roman" w:hAnsi="Times New Roman"/>
          <w:sz w:val="28"/>
        </w:rPr>
        <w:t>согласие на обработку персональных данных;</w:t>
      </w:r>
      <w:r>
        <w:rPr>
          <w:rFonts w:ascii="Times New Roman" w:hAnsi="Times New Roman"/>
          <w:sz w:val="28"/>
        </w:rPr>
        <w:t xml:space="preserve">реестр земельных участков, планируемых к засеву элитными семенами в текущем году; </w:t>
      </w:r>
      <w:r>
        <w:rPr>
          <w:rFonts w:ascii="Times New Roman" w:hAnsi="Times New Roman"/>
          <w:sz w:val="28"/>
        </w:rPr>
        <w:t xml:space="preserve">план расходов на приобретение элитных семян;  </w:t>
      </w:r>
      <w:r>
        <w:rPr>
          <w:rFonts w:ascii="Times New Roman" w:hAnsi="Times New Roman"/>
          <w:sz w:val="28"/>
        </w:rPr>
        <w:t xml:space="preserve">справка - расчет на предоставление субсидии; </w:t>
      </w:r>
      <w:r>
        <w:rPr>
          <w:rFonts w:ascii="Times New Roman" w:hAnsi="Times New Roman"/>
          <w:sz w:val="28"/>
        </w:rPr>
        <w:t xml:space="preserve">копии форм годового отчета: по форме № 2 «Отчет о финансовых результатах», по форме № 6-АПК «Отчет об отраслевых показателях деятельности организаций агропромышленного комплекса», утвержденных Министерством сельского хозяйства Российской Федерации, – за календарный год, предшествующий текущему году подачи заявки (при наличии), заверенные участником отбора, а также выписка из годовой бухгалтерской (финансовой) отчетности товаропроизводителя агропромышленного комплекса Ростовской области по форме, утвержденной министерством по форме, утвержденной Администрацией. Указанные документы представляются всеми сельскохозяйственными товаропроизводителями, кроме сельскохозяйственных товаропроизводителей, включенных в Реестр сельскохозяйственных предприятий Ростовской области, имеющих статус сельскохозяйственного товаропроизводителя, размещенный на официальном сайте министерства сельского хозяйства и продовольствия Ростовской области в информационно-телекоммуникационной сети «Интернет» (www.don-agro.ru), а также указанных в пункте 3 части 2 статьи 3 Федерального закона от 29.12.2006 № 264-ФЗ </w:t>
      </w:r>
      <w:r>
        <w:br/>
      </w:r>
      <w:r>
        <w:rPr>
          <w:rFonts w:ascii="Times New Roman" w:hAnsi="Times New Roman"/>
          <w:sz w:val="28"/>
        </w:rPr>
        <w:t xml:space="preserve">«О развитии сельского хозяйства»; </w:t>
      </w:r>
      <w:r>
        <w:rPr>
          <w:rFonts w:ascii="Times New Roman" w:hAnsi="Times New Roman"/>
          <w:sz w:val="28"/>
        </w:rPr>
        <w:t xml:space="preserve">справка о предоставлении информации о землях сельскохозяйственного назначения в разрезе земельных участков, используемых в сельскохозяйственном производстве, на 1-е число месяца предоставления заявки; </w:t>
      </w:r>
      <w:r>
        <w:rPr>
          <w:rFonts w:ascii="Times New Roman" w:hAnsi="Times New Roman"/>
          <w:sz w:val="28"/>
        </w:rPr>
        <w:t>документ, подтверждающий полномочия представителя на осуществление действий от имени участника отбора,</w:t>
      </w:r>
      <w:r>
        <w:br/>
      </w:r>
      <w:r>
        <w:rPr>
          <w:rFonts w:ascii="Times New Roman" w:hAnsi="Times New Roman"/>
          <w:sz w:val="28"/>
        </w:rPr>
        <w:t xml:space="preserve"> – в случае подачи заявки представителем участника отбора.</w:t>
      </w:r>
      <w:r>
        <w:br/>
      </w:r>
      <w:r>
        <w:rPr>
          <w:rFonts w:ascii="Times New Roman" w:hAnsi="Times New Roman"/>
          <w:b w:val="1"/>
          <w:sz w:val="28"/>
        </w:rPr>
        <w:t>7.</w:t>
      </w:r>
      <w:r>
        <w:rPr>
          <w:rFonts w:ascii="Times New Roman" w:hAnsi="Times New Roman"/>
          <w:sz w:val="28"/>
        </w:rPr>
        <w:t xml:space="preserve"> Порядок отзыва, возврата заявок о предоставлении субсидии, внесение изменений в заявку, а также предоставление участникам отбора разъяснений положений объявления о проведении отбора.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>Участник отбора вправе отозвать заявку не позднее 8-го дня с даты начала приема заявок, направив в Отдел заявление об отзыве заявки.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>Участник отбора вправе в течение срока, установленного для приема заявок, внести изменения в поданную заявку путем направления в Отдел или в МФЦ (в случае подачи заявки через МФЦ) обращения о замене и (или) дополнении документов в ранее поданную заявку. В случае замены документов Отдел в течение 3 рабочих дней с даты подачи обращения о замене и (или) дополнении документов возвращает ранее поданные документы, указанные в обращении участника отбора.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>Участник отбора в период срока приема заявок вправе обратиться в Отдел с письменным заявлением о разъяснении условий проведения отбора. Отдел направляет письменные разъяснения участнику отбора в срок не позднее 7 дней со дня регистрации заявления о разъяснении условий проведения отбора.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>В случае подачи заявки участником отбора после даты окончания срока приема заявок, указанной в объявлении о проведении отбора, такая заявка отклоняется и возвращается участнику отбора в течение 10-и рабочих дней со дня подачи заявки.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>В течение одного периода отбора заявок участник отбора вправе подать не более одной заявки.</w:t>
      </w:r>
    </w:p>
    <w:p w14:paraId="0A000000">
      <w:pPr>
        <w:pStyle w:val="Style_1"/>
        <w:ind w:firstLine="425" w:left="0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8.</w:t>
      </w:r>
      <w:r>
        <w:rPr>
          <w:rFonts w:ascii="Times New Roman" w:hAnsi="Times New Roman"/>
          <w:sz w:val="28"/>
        </w:rPr>
        <w:t xml:space="preserve"> Рассмотрение заявок и принятие решения с </w:t>
      </w:r>
      <w:r>
        <w:rPr>
          <w:rFonts w:ascii="Times New Roman" w:hAnsi="Times New Roman"/>
          <w:sz w:val="28"/>
        </w:rPr>
        <w:t xml:space="preserve"> даты регистрации заявки, но не позднее 10 рабочих дней с даты окончания приема заявок на участие в отборе Отдел направляет межведомственные запросы,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взаимодействия, также Отдел в установленном порядке проверяет наличие сведений о дисквалифицированных руководителе, членах коллегиального исполнительного органа, лице, исполняющем функции единоличного исполнительного органа, и главном бухгалтере (при наличии) участника отбора, являющегося юридическим лицом, об индивидуальном предпринимателе в реестре дисквалифицированных лиц;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>не позднее 10 рабочих дней с даты окончания приема заявок на участие в отборе Отдел рассматривает документы, входящие в состав заявки на предмет их соответствия установленным в объявлении о проведении отбора требованиям на соответствие документов перечню, установленному в пункте 6 настоящего объявления, на наличие в представленных документах дат, подписей, печатей (при наличии); отсутствие в представленных документах исправлений, дописок, подчисток, технических ошибок.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>В срок, не превышающий 10 рабочих дней с даты окончания рассмотрения заявок принимается решение о предоставлении субсидии либо об отказе в предоставлении государственной услуги, Отдел формирует информацию об участниках отбора (результаты рассмотрения заявок).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>В случае отказа в предоставлении субсидии Отдел уведомляет участника отбора с указанием причины отказа путем размещения информации на официальном сайте Администрации.</w:t>
      </w:r>
    </w:p>
    <w:p w14:paraId="0B000000">
      <w:pPr>
        <w:pStyle w:val="Style_1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9.</w:t>
      </w:r>
      <w:r>
        <w:rPr>
          <w:rFonts w:ascii="Times New Roman" w:hAnsi="Times New Roman"/>
          <w:sz w:val="28"/>
        </w:rPr>
        <w:t xml:space="preserve"> В течение 5 рабочих дней с даты принятия решения о предоставлении субсидии Администрация заключает с сельскохозяйственным товаропроизводителем соглашение о предоставлении субсидии в соответствии с типовой формой, установленной Министерством финансов Российской Федерации, в государственной интегрированной информационной системе управления общественными финансами «Электронный бюджет» (далее − Соглашение).</w:t>
      </w:r>
    </w:p>
    <w:p w14:paraId="0C000000">
      <w:pPr>
        <w:pStyle w:val="Style_1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10.</w:t>
      </w:r>
      <w:r>
        <w:rPr>
          <w:rFonts w:ascii="Times New Roman" w:hAnsi="Times New Roman"/>
          <w:sz w:val="28"/>
        </w:rPr>
        <w:t xml:space="preserve"> Сельскохозяйственный товаропроизводитель, не подписавший Соглашение в срок, установленный в пункте 9 объявления, признается уклонившимся от заключения Соглашения.</w:t>
      </w:r>
    </w:p>
    <w:p w14:paraId="0D000000">
      <w:pPr>
        <w:pStyle w:val="Style_1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11</w:t>
      </w:r>
      <w:r>
        <w:rPr>
          <w:rFonts w:ascii="Times New Roman" w:hAnsi="Times New Roman"/>
          <w:sz w:val="28"/>
        </w:rPr>
        <w:t>. Не позднее 14-го календарного дня, следующего за днем принятия решения, Отдел размещает информацию о принятом решении о предоставлении субсидии на официальном сайте Администрации в информационно-телекоммуникационной сети «Интернет».</w:t>
      </w:r>
    </w:p>
    <w:p w14:paraId="0E000000">
      <w:pPr>
        <w:pStyle w:val="Style_1"/>
        <w:rPr>
          <w:rFonts w:ascii="Times New Roman" w:hAnsi="Times New Roman"/>
          <w:sz w:val="28"/>
        </w:rPr>
      </w:pPr>
    </w:p>
    <w:sectPr>
      <w:footerReference r:id="rId1" w:type="default"/>
      <w:pgSz w:h="16838" w:orient="portrait" w:w="11906"/>
      <w:pgMar w:bottom="1134" w:left="1304" w:right="737" w:top="1134"/>
      <w:pgNumType w:fmt="decimal" w:start="1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1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center" w:y="1"/>
    </w:pPr>
    <w:r>
      <w:fldChar w:fldCharType="begin"/>
    </w:r>
    <w:r>
      <w:instrText>PAGE \* Arabic</w:instrText>
    </w:r>
    <w:r>
      <w:fldChar w:fldCharType="separate"/>
    </w:r>
    <w:r>
      <w:fldChar w:fldCharType="end"/>
    </w:r>
  </w:p>
  <w:p w14:paraId="01000000"/>
</w:ft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20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XO Thames" w:hAnsi="XO Thames"/>
        <w:color w:val="000000"/>
        <w:spacing w:val="0"/>
        <w:sz w:val="24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1" w:type="paragraph">
    <w:name w:val="Normal"/>
    <w:link w:val="Style_1_ch"/>
    <w:uiPriority w:val="0"/>
    <w:qFormat/>
    <w:pPr>
      <w:spacing w:line="240" w:lineRule="auto"/>
      <w:ind/>
      <w:jc w:val="both"/>
    </w:pPr>
    <w:rPr>
      <w:rFonts w:ascii="XO Thames" w:hAnsi="XO Thames"/>
      <w:sz w:val="28"/>
    </w:rPr>
  </w:style>
  <w:style w:default="1" w:styleId="Style_1_ch" w:type="character">
    <w:name w:val="Normal"/>
    <w:link w:val="Style_1"/>
    <w:rPr>
      <w:rFonts w:ascii="XO Thames" w:hAnsi="XO Thames"/>
      <w:sz w:val="28"/>
    </w:rPr>
  </w:style>
  <w:style w:styleId="Style_3" w:type="paragraph">
    <w:name w:val="toc 2"/>
    <w:next w:val="Style_1"/>
    <w:link w:val="Style_3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3_ch" w:type="character">
    <w:name w:val="toc 2"/>
    <w:link w:val="Style_3"/>
    <w:rPr>
      <w:rFonts w:ascii="XO Thames" w:hAnsi="XO Thames"/>
      <w:sz w:val="28"/>
    </w:rPr>
  </w:style>
  <w:style w:styleId="Style_4" w:type="paragraph">
    <w:name w:val="toc 4"/>
    <w:next w:val="Style_1"/>
    <w:link w:val="Style_4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4_ch" w:type="character">
    <w:name w:val="toc 4"/>
    <w:link w:val="Style_4"/>
    <w:rPr>
      <w:rFonts w:ascii="XO Thames" w:hAnsi="XO Thames"/>
      <w:sz w:val="28"/>
    </w:rPr>
  </w:style>
  <w:style w:styleId="Style_5" w:type="paragraph">
    <w:name w:val="toc 6"/>
    <w:next w:val="Style_1"/>
    <w:link w:val="Style_5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5_ch" w:type="character">
    <w:name w:val="toc 6"/>
    <w:link w:val="Style_5"/>
    <w:rPr>
      <w:rFonts w:ascii="XO Thames" w:hAnsi="XO Thames"/>
      <w:sz w:val="28"/>
    </w:rPr>
  </w:style>
  <w:style w:styleId="Style_6" w:type="paragraph">
    <w:name w:val="toc 7"/>
    <w:next w:val="Style_1"/>
    <w:link w:val="Style_6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6_ch" w:type="character">
    <w:name w:val="toc 7"/>
    <w:link w:val="Style_6"/>
    <w:rPr>
      <w:rFonts w:ascii="XO Thames" w:hAnsi="XO Thames"/>
      <w:sz w:val="28"/>
    </w:rPr>
  </w:style>
  <w:style w:styleId="Style_7" w:type="paragraph">
    <w:name w:val="heading 3"/>
    <w:next w:val="Style_1"/>
    <w:link w:val="Style_7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7_ch" w:type="character">
    <w:name w:val="heading 3"/>
    <w:link w:val="Style_7"/>
    <w:rPr>
      <w:rFonts w:ascii="XO Thames" w:hAnsi="XO Thames"/>
      <w:b w:val="1"/>
      <w:sz w:val="26"/>
    </w:rPr>
  </w:style>
  <w:style w:styleId="Style_8" w:type="paragraph">
    <w:name w:val="toc 3"/>
    <w:next w:val="Style_1"/>
    <w:link w:val="Style_8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8_ch" w:type="character">
    <w:name w:val="toc 3"/>
    <w:link w:val="Style_8"/>
    <w:rPr>
      <w:rFonts w:ascii="XO Thames" w:hAnsi="XO Thames"/>
      <w:sz w:val="28"/>
    </w:rPr>
  </w:style>
  <w:style w:styleId="Style_9" w:type="paragraph">
    <w:name w:val="heading 5"/>
    <w:next w:val="Style_1"/>
    <w:link w:val="Style_9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9_ch" w:type="character">
    <w:name w:val="heading 5"/>
    <w:link w:val="Style_9"/>
    <w:rPr>
      <w:rFonts w:ascii="XO Thames" w:hAnsi="XO Thames"/>
      <w:b w:val="1"/>
      <w:sz w:val="22"/>
    </w:rPr>
  </w:style>
  <w:style w:styleId="Style_10" w:type="paragraph">
    <w:name w:val="heading 1"/>
    <w:next w:val="Style_1"/>
    <w:link w:val="Style_10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0_ch" w:type="character">
    <w:name w:val="heading 1"/>
    <w:link w:val="Style_10"/>
    <w:rPr>
      <w:rFonts w:ascii="XO Thames" w:hAnsi="XO Thames"/>
      <w:b w:val="1"/>
      <w:sz w:val="32"/>
    </w:rPr>
  </w:style>
  <w:style w:styleId="Style_2" w:type="paragraph">
    <w:name w:val="Hyperlink"/>
    <w:link w:val="Style_2_ch"/>
    <w:rPr>
      <w:color w:val="0000FF"/>
      <w:u w:val="single"/>
    </w:rPr>
  </w:style>
  <w:style w:styleId="Style_2_ch" w:type="character">
    <w:name w:val="Hyperlink"/>
    <w:link w:val="Style_2"/>
    <w:rPr>
      <w:color w:val="0000FF"/>
      <w:u w:val="single"/>
    </w:rPr>
  </w:style>
  <w:style w:styleId="Style_11" w:type="paragraph">
    <w:name w:val="Footnote"/>
    <w:link w:val="Style_11_ch"/>
    <w:pPr>
      <w:ind w:firstLine="851" w:left="0"/>
      <w:jc w:val="both"/>
    </w:pPr>
    <w:rPr>
      <w:rFonts w:ascii="XO Thames" w:hAnsi="XO Thames"/>
      <w:sz w:val="22"/>
    </w:rPr>
  </w:style>
  <w:style w:styleId="Style_11_ch" w:type="character">
    <w:name w:val="Footnote"/>
    <w:link w:val="Style_11"/>
    <w:rPr>
      <w:rFonts w:ascii="XO Thames" w:hAnsi="XO Thames"/>
      <w:sz w:val="22"/>
    </w:rPr>
  </w:style>
  <w:style w:styleId="Style_12" w:type="paragraph">
    <w:name w:val="toc 1"/>
    <w:next w:val="Style_1"/>
    <w:link w:val="Style_12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2_ch" w:type="character">
    <w:name w:val="toc 1"/>
    <w:link w:val="Style_12"/>
    <w:rPr>
      <w:rFonts w:ascii="XO Thames" w:hAnsi="XO Thames"/>
      <w:b w:val="1"/>
      <w:sz w:val="28"/>
    </w:rPr>
  </w:style>
  <w:style w:styleId="Style_13" w:type="paragraph">
    <w:name w:val="Header and Footer"/>
    <w:link w:val="Style_13_ch"/>
    <w:pPr>
      <w:spacing w:line="240" w:lineRule="auto"/>
      <w:ind/>
      <w:jc w:val="both"/>
    </w:pPr>
    <w:rPr>
      <w:rFonts w:ascii="XO Thames" w:hAnsi="XO Thames"/>
      <w:sz w:val="20"/>
    </w:rPr>
  </w:style>
  <w:style w:styleId="Style_13_ch" w:type="character">
    <w:name w:val="Header and Footer"/>
    <w:link w:val="Style_13"/>
    <w:rPr>
      <w:rFonts w:ascii="XO Thames" w:hAnsi="XO Thames"/>
      <w:sz w:val="20"/>
    </w:rPr>
  </w:style>
  <w:style w:styleId="Style_14" w:type="paragraph">
    <w:name w:val="toc 9"/>
    <w:next w:val="Style_1"/>
    <w:link w:val="Style_14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4_ch" w:type="character">
    <w:name w:val="toc 9"/>
    <w:link w:val="Style_14"/>
    <w:rPr>
      <w:rFonts w:ascii="XO Thames" w:hAnsi="XO Thames"/>
      <w:sz w:val="28"/>
    </w:rPr>
  </w:style>
  <w:style w:styleId="Style_15" w:type="paragraph">
    <w:name w:val="toc 8"/>
    <w:next w:val="Style_1"/>
    <w:link w:val="Style_15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15_ch" w:type="character">
    <w:name w:val="toc 8"/>
    <w:link w:val="Style_15"/>
    <w:rPr>
      <w:rFonts w:ascii="XO Thames" w:hAnsi="XO Thames"/>
      <w:sz w:val="28"/>
    </w:rPr>
  </w:style>
  <w:style w:styleId="Style_16" w:type="paragraph">
    <w:name w:val="toc 5"/>
    <w:next w:val="Style_1"/>
    <w:link w:val="Style_16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16_ch" w:type="character">
    <w:name w:val="toc 5"/>
    <w:link w:val="Style_16"/>
    <w:rPr>
      <w:rFonts w:ascii="XO Thames" w:hAnsi="XO Thames"/>
      <w:sz w:val="28"/>
    </w:rPr>
  </w:style>
  <w:style w:styleId="Style_17" w:type="paragraph">
    <w:name w:val="Subtitle"/>
    <w:next w:val="Style_1"/>
    <w:link w:val="Style_17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17_ch" w:type="character">
    <w:name w:val="Subtitle"/>
    <w:link w:val="Style_17"/>
    <w:rPr>
      <w:rFonts w:ascii="XO Thames" w:hAnsi="XO Thames"/>
      <w:i w:val="1"/>
      <w:sz w:val="24"/>
    </w:rPr>
  </w:style>
  <w:style w:styleId="Style_18" w:type="paragraph">
    <w:name w:val="Title"/>
    <w:next w:val="Style_1"/>
    <w:link w:val="Style_18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18_ch" w:type="character">
    <w:name w:val="Title"/>
    <w:link w:val="Style_18"/>
    <w:rPr>
      <w:rFonts w:ascii="XO Thames" w:hAnsi="XO Thames"/>
      <w:b w:val="1"/>
      <w:caps w:val="1"/>
      <w:sz w:val="40"/>
    </w:rPr>
  </w:style>
  <w:style w:styleId="Style_19" w:type="paragraph">
    <w:name w:val="heading 4"/>
    <w:next w:val="Style_1"/>
    <w:link w:val="Style_19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19_ch" w:type="character">
    <w:name w:val="heading 4"/>
    <w:link w:val="Style_19"/>
    <w:rPr>
      <w:rFonts w:ascii="XO Thames" w:hAnsi="XO Thames"/>
      <w:b w:val="1"/>
      <w:sz w:val="24"/>
    </w:rPr>
  </w:style>
  <w:style w:styleId="Style_20" w:type="paragraph">
    <w:name w:val="heading 2"/>
    <w:next w:val="Style_1"/>
    <w:link w:val="Style_20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0_ch" w:type="character">
    <w:name w:val="heading 2"/>
    <w:link w:val="Style_20"/>
    <w:rPr>
      <w:rFonts w:ascii="XO Thames" w:hAnsi="XO Thames"/>
      <w:b w:val="1"/>
      <w:sz w:val="28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theme/theme1.xml" Type="http://schemas.openxmlformats.org/officeDocument/2006/relationships/theme"/>
  <Relationship Id="rId6" Target="webSettings.xml" Type="http://schemas.openxmlformats.org/officeDocument/2006/relationships/webSettings"/>
  <Relationship Id="rId5" Target="stylesWithEffects.xml" Type="http://schemas.microsoft.com/office/2007/relationships/stylesWithEffects"/>
  <Relationship Id="rId4" Target="styles.xml" Type="http://schemas.openxmlformats.org/officeDocument/2006/relationships/styles"/>
  <Relationship Id="rId2" Target="fontTable.xml" Type="http://schemas.openxmlformats.org/officeDocument/2006/relationships/fontTable"/>
  <Relationship Id="rId3" Target="settings.xml" Type="http://schemas.openxmlformats.org/officeDocument/2006/relationships/settings"/>
  <Relationship Id="rId1" Target="footer1.xml" Type="http://schemas.openxmlformats.org/officeDocument/2006/relationships/foot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MyOffice-CoreFramework-Windows/25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2023-03-06T10:21:27Z</dcterms:modified>
</cp:coreProperties>
</file>